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B8EE" w14:textId="1554F2F3" w:rsidR="28C0F646" w:rsidRPr="00E92FD7" w:rsidRDefault="00B51A6A" w:rsidP="001D7940">
      <w:pPr>
        <w:spacing w:after="16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92F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Data Guidance for </w:t>
      </w:r>
      <w:r w:rsidR="00C00AF3" w:rsidRPr="00E92F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Physi</w:t>
      </w:r>
      <w:r w:rsidR="000C2923" w:rsidRPr="00E92F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cal Distancing</w:t>
      </w:r>
      <w:r w:rsidRPr="00E92FD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Programs</w:t>
      </w:r>
    </w:p>
    <w:p w14:paraId="5FA043C5" w14:textId="0CA46C16" w:rsidR="28C0F646" w:rsidRPr="00E92FD7" w:rsidRDefault="007B3E49" w:rsidP="70D5E81B">
      <w:pPr>
        <w:pStyle w:val="ListParagraph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Guidance on the u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se of the data collection systems and forms</w:t>
      </w:r>
      <w:r w:rsidR="0071774D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</w:p>
    <w:p w14:paraId="0866349D" w14:textId="421DE3A0" w:rsidR="008F4DE5" w:rsidRPr="00E92FD7" w:rsidRDefault="28C0F646" w:rsidP="0071774D">
      <w:pPr>
        <w:pStyle w:val="ListParagraph"/>
        <w:numPr>
          <w:ilvl w:val="1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All COVID-19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related </w:t>
      </w:r>
      <w:r w:rsidR="0071774D" w:rsidRPr="0071774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Crisis Counseling Assistance and Training Program </w:t>
      </w:r>
      <w:r w:rsidR="0071774D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CCP</w:t>
      </w:r>
      <w:r w:rsidR="0071774D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grants should use the </w:t>
      </w:r>
      <w:r w:rsidR="00DF51CD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most recent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1774D">
        <w:rPr>
          <w:rFonts w:ascii="Times New Roman" w:eastAsia="Calibri" w:hAnsi="Times New Roman" w:cs="Times New Roman"/>
          <w:color w:val="auto"/>
          <w:sz w:val="24"/>
          <w:szCs w:val="24"/>
        </w:rPr>
        <w:t>Office of Management and Budget (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OMB</w:t>
      </w:r>
      <w:r w:rsidR="0071774D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forms for data collection. The updated forms have an expiration date of </w:t>
      </w:r>
      <w:r w:rsidR="0078107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July 31, 2022, 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and </w:t>
      </w:r>
      <w:r w:rsidR="00DF51CD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are available </w:t>
      </w:r>
      <w:r w:rsidR="00D33723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on the </w:t>
      </w:r>
      <w:r w:rsidR="008F4DE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CCP </w:t>
      </w:r>
      <w:r w:rsidR="00356E57">
        <w:rPr>
          <w:rFonts w:ascii="Times New Roman" w:eastAsia="Calibri" w:hAnsi="Times New Roman" w:cs="Times New Roman"/>
          <w:color w:val="auto"/>
          <w:sz w:val="24"/>
          <w:szCs w:val="24"/>
        </w:rPr>
        <w:t>t</w:t>
      </w:r>
      <w:r w:rsidR="008F4DE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oolkit</w:t>
      </w:r>
      <w:r w:rsidR="00D33723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8107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web page </w:t>
      </w:r>
      <w:r w:rsidR="00D33723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at</w:t>
      </w:r>
      <w:r w:rsidR="008F4DE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6F289A" w:rsidRPr="00E92F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https://www.samhsa.gov/dtac/ccp-toolkit/ccp-data-forms-trainings</w:t>
        </w:r>
      </w:hyperlink>
      <w:r w:rsidR="00D33723" w:rsidRPr="00E92F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4BDDA1" w14:textId="523050C8" w:rsidR="000D3981" w:rsidRPr="00E92FD7" w:rsidRDefault="28C0F646" w:rsidP="003472DC">
      <w:pPr>
        <w:pStyle w:val="ListParagraph"/>
        <w:numPr>
          <w:ilvl w:val="1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Programs are advised to use the CCP </w:t>
      </w:r>
      <w:r w:rsidR="00597854">
        <w:rPr>
          <w:rFonts w:ascii="Times New Roman" w:eastAsia="Calibri" w:hAnsi="Times New Roman" w:cs="Times New Roman"/>
          <w:color w:val="auto"/>
          <w:sz w:val="24"/>
          <w:szCs w:val="24"/>
        </w:rPr>
        <w:t>m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obile </w:t>
      </w:r>
      <w:r w:rsidR="00597854">
        <w:rPr>
          <w:rFonts w:ascii="Times New Roman" w:eastAsia="Calibri" w:hAnsi="Times New Roman" w:cs="Times New Roman"/>
          <w:color w:val="auto"/>
          <w:sz w:val="24"/>
          <w:szCs w:val="24"/>
        </w:rPr>
        <w:t>a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pp (</w:t>
      </w:r>
      <w:hyperlink r:id="rId11">
        <w:r w:rsidR="0078107E">
          <w:rPr>
            <w:rStyle w:val="Hyperlink"/>
            <w:rFonts w:ascii="Times New Roman" w:eastAsia="Calibri" w:hAnsi="Times New Roman" w:cs="Times New Roman"/>
            <w:color w:val="0000FF"/>
            <w:sz w:val="24"/>
            <w:szCs w:val="24"/>
          </w:rPr>
          <w:t>https://www.ccpdata.org/ccpmobile</w:t>
        </w:r>
      </w:hyperlink>
      <w:r w:rsidRPr="00E92FD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)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in the Google Chrome browser 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>on a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mobile device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such as a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smartphone 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>or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tablet, 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if these devices 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are available. Staff can use the app on a desktop, using Google Chrome, if mobile devices are not available</w:t>
      </w:r>
      <w:r w:rsidR="00610675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820FB5A" w14:textId="5F5E5EDF" w:rsidR="0078789C" w:rsidRPr="00E92FD7" w:rsidRDefault="28C0F646" w:rsidP="0078789C">
      <w:pPr>
        <w:pStyle w:val="ListParagraph"/>
        <w:numPr>
          <w:ilvl w:val="2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It should be noted that the app is optimized for mobile device use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and errors can occur when using it via a desktop.</w:t>
      </w:r>
    </w:p>
    <w:p w14:paraId="3F314C9C" w14:textId="2AD1C911" w:rsidR="0017465A" w:rsidRPr="00E92FD7" w:rsidRDefault="28C0F646" w:rsidP="000D3981">
      <w:pPr>
        <w:pStyle w:val="ListParagraph"/>
        <w:numPr>
          <w:ilvl w:val="2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It should be noted that the app is optimized for use with Google Chrome</w:t>
      </w:r>
      <w:r w:rsidR="00730B6B">
        <w:rPr>
          <w:rFonts w:ascii="Times New Roman" w:eastAsia="Calibri" w:hAnsi="Times New Roman" w:cs="Times New Roman"/>
          <w:color w:val="auto"/>
          <w:sz w:val="24"/>
          <w:szCs w:val="24"/>
        </w:rPr>
        <w:t>. E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rrors, including potential data loss, can occur when using other browsers</w:t>
      </w:r>
      <w:r w:rsidR="00680DC8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such as Safari.</w:t>
      </w:r>
    </w:p>
    <w:p w14:paraId="6B0D2501" w14:textId="704CCD0B" w:rsidR="28C0F646" w:rsidRPr="00E92FD7" w:rsidRDefault="28C0F646" w:rsidP="000D3981">
      <w:pPr>
        <w:pStyle w:val="ListParagraph"/>
        <w:numPr>
          <w:ilvl w:val="2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Mobile app users </w:t>
      </w:r>
      <w:r w:rsidR="00680DC8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are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encouraged to upload forms as often as possible due to extraordinary demands on the system related to COVID-19 grants across the nation.</w:t>
      </w:r>
    </w:p>
    <w:p w14:paraId="1D71056E" w14:textId="2297EE69" w:rsidR="28C0F646" w:rsidRPr="00E92FD7" w:rsidRDefault="28C0F646" w:rsidP="70D5E81B">
      <w:pPr>
        <w:pStyle w:val="ListParagraph"/>
        <w:numPr>
          <w:ilvl w:val="1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If mobile devices are not available immediately, paper data collection is advised. Crisis counselors and other outreach workers should complete paper forms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and 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>these forms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should be entered into the Online Data Collection and Evaluation System (ODCES) (</w:t>
      </w:r>
      <w:hyperlink r:id="rId12">
        <w:r w:rsidR="00730B6B">
          <w:rPr>
            <w:rStyle w:val="Hyperlink"/>
            <w:rFonts w:ascii="Times New Roman" w:eastAsia="Calibri" w:hAnsi="Times New Roman" w:cs="Times New Roman"/>
            <w:color w:val="0000FF"/>
            <w:sz w:val="24"/>
            <w:szCs w:val="24"/>
          </w:rPr>
          <w:t>https://www.ccpdata.org/ccp2field</w:t>
        </w:r>
      </w:hyperlink>
      <w:r w:rsidRPr="00E92FD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)</w:t>
      </w:r>
      <w:r w:rsidRPr="003302C5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57F176F3" w14:textId="1957A5CF" w:rsidR="28C0F646" w:rsidRPr="00E92FD7" w:rsidRDefault="28C0F646" w:rsidP="70D5E81B">
      <w:pPr>
        <w:pStyle w:val="ListParagraph"/>
        <w:numPr>
          <w:ilvl w:val="2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If paper forms are used initially, teams </w:t>
      </w:r>
      <w:r w:rsidR="003645D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should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82EDF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plan to 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transition to </w:t>
      </w:r>
      <w:r w:rsidR="00790E5B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data collection via 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the mobile app as soon as possible.</w:t>
      </w:r>
    </w:p>
    <w:p w14:paraId="4ED7A50C" w14:textId="4BA82BED" w:rsidR="28C0F646" w:rsidRPr="00E92FD7" w:rsidRDefault="009A1335" w:rsidP="70D5E81B">
      <w:pPr>
        <w:pStyle w:val="ListParagraph"/>
        <w:numPr>
          <w:ilvl w:val="1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The Substance Abuse and Mental Health Services Administration (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SAMHSA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) Disaster Technical Assistance Center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DTAC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will provide the grantees with virtual ODCES and mobile app training and technical assistance</w:t>
      </w:r>
      <w:r w:rsidR="004E3D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(TA)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75C4B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for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system access</w:t>
      </w:r>
      <w:r w:rsidR="007B3A81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and utilization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as needed.</w:t>
      </w:r>
    </w:p>
    <w:p w14:paraId="3CC61AC9" w14:textId="5C5B23E2" w:rsidR="28C0F646" w:rsidRPr="00E92FD7" w:rsidRDefault="007B3E49" w:rsidP="70D5E81B">
      <w:pPr>
        <w:pStyle w:val="ListParagraph"/>
        <w:numPr>
          <w:ilvl w:val="0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Guidance on c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apturing </w:t>
      </w:r>
      <w:r w:rsidR="009A1335">
        <w:rPr>
          <w:rFonts w:ascii="Times New Roman" w:eastAsia="Calibri" w:hAnsi="Times New Roman" w:cs="Times New Roman"/>
          <w:color w:val="auto"/>
          <w:sz w:val="24"/>
          <w:szCs w:val="24"/>
        </w:rPr>
        <w:t>v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irtual </w:t>
      </w:r>
      <w:r w:rsidR="001E46AE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and </w:t>
      </w:r>
      <w:r w:rsidR="009A1335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="001E46AE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econdary </w:t>
      </w:r>
      <w:r w:rsidR="009A1335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ervices</w:t>
      </w:r>
      <w:r w:rsidR="009A1335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28C0F646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458799B4" w14:textId="5482656D" w:rsidR="00521D80" w:rsidRPr="00E92FD7" w:rsidRDefault="00521D80" w:rsidP="00521D80">
      <w:pPr>
        <w:pStyle w:val="ListParagraph"/>
        <w:numPr>
          <w:ilvl w:val="1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When possible, programs are advised to </w:t>
      </w:r>
      <w:r w:rsidR="0080172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collect</w:t>
      </w: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data using the OMB-approved CCP data collection forms.</w:t>
      </w:r>
    </w:p>
    <w:p w14:paraId="0CD8FC74" w14:textId="04B07AAF" w:rsidR="001558B6" w:rsidRPr="00E92FD7" w:rsidRDefault="001558B6" w:rsidP="00521D80">
      <w:pPr>
        <w:pStyle w:val="ListParagraph"/>
        <w:numPr>
          <w:ilvl w:val="1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Virtual services, such as phone calls</w:t>
      </w:r>
      <w:r w:rsidR="000C7E11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, virtual crisis counseling, webinars, and mat</w:t>
      </w:r>
      <w:r w:rsidR="009B27F0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erials distribution, </w:t>
      </w:r>
      <w:r w:rsidR="0080172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should be captured </w:t>
      </w:r>
      <w:r w:rsidR="00A65ED1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on the </w:t>
      </w:r>
      <w:r w:rsidR="0081124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appropriate</w:t>
      </w:r>
      <w:r w:rsidR="00A65ED1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form</w:t>
      </w:r>
      <w:r w:rsidR="00EB1C44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(see 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the </w:t>
      </w:r>
      <w:r w:rsidR="00EB1C44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F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requently </w:t>
      </w:r>
      <w:r w:rsidR="00EB1C44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A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sked </w:t>
      </w:r>
      <w:r w:rsidR="00EB1C44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Q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>uestion</w:t>
      </w:r>
      <w:r w:rsidR="00EB1C44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="00A4442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document</w:t>
      </w:r>
      <w:r w:rsidR="00EB1C44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for additional information).</w:t>
      </w:r>
      <w:r w:rsidR="00A65ED1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296211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For instructions on how to complete </w:t>
      </w:r>
      <w:r w:rsidR="00302B8B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these forms, please </w:t>
      </w:r>
      <w:r w:rsidR="003925A5" w:rsidRPr="00E92FD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visit the SAMHSA DTAC website at </w:t>
      </w:r>
      <w:hyperlink r:id="rId13" w:history="1">
        <w:r w:rsidR="00FC5150" w:rsidRPr="00E92F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https://www.samhsa.gov/dtac/ccp-toolkit</w:t>
        </w:r>
      </w:hyperlink>
      <w:r w:rsidR="00FC5150" w:rsidRPr="00E92F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5A7B1EB" w14:textId="453F86C7" w:rsidR="003D6272" w:rsidRPr="00835F6C" w:rsidRDefault="00C26B3F" w:rsidP="00521D80">
      <w:pPr>
        <w:pStyle w:val="ListParagraph"/>
        <w:numPr>
          <w:ilvl w:val="1"/>
          <w:numId w:val="1"/>
        </w:numPr>
        <w:spacing w:after="16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92FD7">
        <w:rPr>
          <w:rFonts w:ascii="Times New Roman" w:hAnsi="Times New Roman" w:cs="Times New Roman"/>
          <w:color w:val="auto"/>
          <w:sz w:val="24"/>
          <w:szCs w:val="24"/>
        </w:rPr>
        <w:t xml:space="preserve">If additional assistance is needed on capturing </w:t>
      </w:r>
      <w:r w:rsidR="00763AE1" w:rsidRPr="00E92FD7">
        <w:rPr>
          <w:rFonts w:ascii="Times New Roman" w:hAnsi="Times New Roman" w:cs="Times New Roman"/>
          <w:color w:val="auto"/>
          <w:sz w:val="24"/>
          <w:szCs w:val="24"/>
        </w:rPr>
        <w:t xml:space="preserve">data, please contact </w:t>
      </w:r>
      <w:r w:rsidR="00DB0597" w:rsidRPr="00E92FD7">
        <w:rPr>
          <w:rFonts w:ascii="Times New Roman" w:hAnsi="Times New Roman" w:cs="Times New Roman"/>
          <w:color w:val="auto"/>
          <w:sz w:val="24"/>
          <w:szCs w:val="24"/>
        </w:rPr>
        <w:t xml:space="preserve">your assigned TA </w:t>
      </w:r>
      <w:r w:rsidR="00BC643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B0597" w:rsidRPr="00E92FD7">
        <w:rPr>
          <w:rFonts w:ascii="Times New Roman" w:hAnsi="Times New Roman" w:cs="Times New Roman"/>
          <w:color w:val="auto"/>
          <w:sz w:val="24"/>
          <w:szCs w:val="24"/>
        </w:rPr>
        <w:t>pecialist.</w:t>
      </w:r>
    </w:p>
    <w:p w14:paraId="1EDA4651" w14:textId="50CBCBBE" w:rsidR="70D5E81B" w:rsidRPr="00E92FD7" w:rsidRDefault="70D5E81B" w:rsidP="005C121F">
      <w:pPr>
        <w:rPr>
          <w:color w:val="auto"/>
        </w:rPr>
      </w:pPr>
    </w:p>
    <w:sectPr w:rsidR="70D5E81B" w:rsidRPr="00E92FD7" w:rsidSect="00EE3E7C">
      <w:footerReference w:type="default" r:id="rId14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5225" w14:textId="77777777" w:rsidR="00487481" w:rsidRDefault="00487481">
      <w:r>
        <w:separator/>
      </w:r>
    </w:p>
    <w:p w14:paraId="2E5B41CA" w14:textId="77777777" w:rsidR="00487481" w:rsidRDefault="00487481"/>
  </w:endnote>
  <w:endnote w:type="continuationSeparator" w:id="0">
    <w:p w14:paraId="21FCFF67" w14:textId="77777777" w:rsidR="00487481" w:rsidRDefault="00487481">
      <w:r>
        <w:continuationSeparator/>
      </w:r>
    </w:p>
    <w:p w14:paraId="01DECA18" w14:textId="77777777" w:rsidR="00487481" w:rsidRDefault="00487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E663" w14:textId="77777777" w:rsidR="00487481" w:rsidRDefault="00487481">
      <w:r>
        <w:separator/>
      </w:r>
    </w:p>
    <w:p w14:paraId="0AE53651" w14:textId="77777777" w:rsidR="00487481" w:rsidRDefault="00487481"/>
  </w:footnote>
  <w:footnote w:type="continuationSeparator" w:id="0">
    <w:p w14:paraId="31A3CC8D" w14:textId="77777777" w:rsidR="00487481" w:rsidRDefault="00487481">
      <w:r>
        <w:continuationSeparator/>
      </w:r>
    </w:p>
    <w:p w14:paraId="73EB0C58" w14:textId="77777777" w:rsidR="00487481" w:rsidRDefault="004874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8113ED"/>
    <w:multiLevelType w:val="hybridMultilevel"/>
    <w:tmpl w:val="E500F02C"/>
    <w:lvl w:ilvl="0" w:tplc="20B4E482">
      <w:start w:val="1"/>
      <w:numFmt w:val="decimal"/>
      <w:lvlText w:val="%1."/>
      <w:lvlJc w:val="left"/>
      <w:pPr>
        <w:ind w:left="360" w:hanging="360"/>
      </w:pPr>
    </w:lvl>
    <w:lvl w:ilvl="1" w:tplc="ED66098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ED2B1A0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 w:tplc="BD085444">
      <w:start w:val="1"/>
      <w:numFmt w:val="decimal"/>
      <w:lvlText w:val="%4."/>
      <w:lvlJc w:val="left"/>
      <w:pPr>
        <w:ind w:left="2520" w:hanging="360"/>
      </w:pPr>
    </w:lvl>
    <w:lvl w:ilvl="4" w:tplc="3B4AE32E">
      <w:start w:val="1"/>
      <w:numFmt w:val="lowerLetter"/>
      <w:lvlText w:val="%5."/>
      <w:lvlJc w:val="left"/>
      <w:pPr>
        <w:ind w:left="3240" w:hanging="360"/>
      </w:pPr>
    </w:lvl>
    <w:lvl w:ilvl="5" w:tplc="06FC3D66">
      <w:start w:val="1"/>
      <w:numFmt w:val="lowerRoman"/>
      <w:lvlText w:val="%6."/>
      <w:lvlJc w:val="right"/>
      <w:pPr>
        <w:ind w:left="3960" w:hanging="180"/>
      </w:pPr>
    </w:lvl>
    <w:lvl w:ilvl="6" w:tplc="C68A1F98">
      <w:start w:val="1"/>
      <w:numFmt w:val="decimal"/>
      <w:lvlText w:val="%7."/>
      <w:lvlJc w:val="left"/>
      <w:pPr>
        <w:ind w:left="4680" w:hanging="360"/>
      </w:pPr>
    </w:lvl>
    <w:lvl w:ilvl="7" w:tplc="5B4E5182">
      <w:start w:val="1"/>
      <w:numFmt w:val="lowerLetter"/>
      <w:lvlText w:val="%8."/>
      <w:lvlJc w:val="left"/>
      <w:pPr>
        <w:ind w:left="5400" w:hanging="360"/>
      </w:pPr>
    </w:lvl>
    <w:lvl w:ilvl="8" w:tplc="4ABC6B7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42AAE"/>
    <w:rsid w:val="000C2923"/>
    <w:rsid w:val="000C7E11"/>
    <w:rsid w:val="000D3981"/>
    <w:rsid w:val="001558B6"/>
    <w:rsid w:val="0017465A"/>
    <w:rsid w:val="00192AFA"/>
    <w:rsid w:val="001C0D1F"/>
    <w:rsid w:val="001D7940"/>
    <w:rsid w:val="001E46AE"/>
    <w:rsid w:val="001F61DE"/>
    <w:rsid w:val="00233CAE"/>
    <w:rsid w:val="00296211"/>
    <w:rsid w:val="00302B8B"/>
    <w:rsid w:val="003302C5"/>
    <w:rsid w:val="003472DC"/>
    <w:rsid w:val="00356E57"/>
    <w:rsid w:val="003645D5"/>
    <w:rsid w:val="00375C4B"/>
    <w:rsid w:val="003925A5"/>
    <w:rsid w:val="003D2B66"/>
    <w:rsid w:val="003D6272"/>
    <w:rsid w:val="00447041"/>
    <w:rsid w:val="00487481"/>
    <w:rsid w:val="004E3DEE"/>
    <w:rsid w:val="0051667D"/>
    <w:rsid w:val="00521D80"/>
    <w:rsid w:val="0058464E"/>
    <w:rsid w:val="00597854"/>
    <w:rsid w:val="005C121F"/>
    <w:rsid w:val="00610675"/>
    <w:rsid w:val="00644FAC"/>
    <w:rsid w:val="00656CDF"/>
    <w:rsid w:val="00674A56"/>
    <w:rsid w:val="00680DC8"/>
    <w:rsid w:val="006F289A"/>
    <w:rsid w:val="0071774D"/>
    <w:rsid w:val="00730B6B"/>
    <w:rsid w:val="00733795"/>
    <w:rsid w:val="00763AE1"/>
    <w:rsid w:val="0078107E"/>
    <w:rsid w:val="007861EC"/>
    <w:rsid w:val="0078789C"/>
    <w:rsid w:val="00790E5B"/>
    <w:rsid w:val="007962A0"/>
    <w:rsid w:val="007B3A81"/>
    <w:rsid w:val="007B3E49"/>
    <w:rsid w:val="007E1B97"/>
    <w:rsid w:val="00801725"/>
    <w:rsid w:val="00811245"/>
    <w:rsid w:val="00835F6C"/>
    <w:rsid w:val="008F4DE5"/>
    <w:rsid w:val="00916216"/>
    <w:rsid w:val="00982EDF"/>
    <w:rsid w:val="009A1335"/>
    <w:rsid w:val="009B27F0"/>
    <w:rsid w:val="009D2B19"/>
    <w:rsid w:val="00A44428"/>
    <w:rsid w:val="00A65ED1"/>
    <w:rsid w:val="00A86CAE"/>
    <w:rsid w:val="00B045AF"/>
    <w:rsid w:val="00B51A6A"/>
    <w:rsid w:val="00BC643E"/>
    <w:rsid w:val="00C00AF3"/>
    <w:rsid w:val="00C00CB4"/>
    <w:rsid w:val="00C26B3F"/>
    <w:rsid w:val="00C46460"/>
    <w:rsid w:val="00C922B4"/>
    <w:rsid w:val="00CD452D"/>
    <w:rsid w:val="00D03AC1"/>
    <w:rsid w:val="00D33723"/>
    <w:rsid w:val="00DB0597"/>
    <w:rsid w:val="00DC274F"/>
    <w:rsid w:val="00DC2CF0"/>
    <w:rsid w:val="00DF51CD"/>
    <w:rsid w:val="00E92FD7"/>
    <w:rsid w:val="00EB1C44"/>
    <w:rsid w:val="00EC58E9"/>
    <w:rsid w:val="00EE3E7C"/>
    <w:rsid w:val="00F2352A"/>
    <w:rsid w:val="00F35DC0"/>
    <w:rsid w:val="00FC5150"/>
    <w:rsid w:val="00FE4A55"/>
    <w:rsid w:val="0FD459B6"/>
    <w:rsid w:val="28C0F646"/>
    <w:rsid w:val="70D5E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D459B6"/>
  <w15:chartTrackingRefBased/>
  <w15:docId w15:val="{A0396D78-4D5E-4CCE-A846-58E5ECFC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mhsa.gov/dtac/ccp-tool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pdata.org/ccp2fiel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pdata.org/ccpmobil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mhsa.gov/dtac/ccp-toolkit/ccp-data-forms-train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4C7B85F8454EAD8A7F44A40BD3BF" ma:contentTypeVersion="6" ma:contentTypeDescription="Create a new document." ma:contentTypeScope="" ma:versionID="a37ed6916a6e607da3a3acd44a624f99">
  <xsd:schema xmlns:xsd="http://www.w3.org/2001/XMLSchema" xmlns:xs="http://www.w3.org/2001/XMLSchema" xmlns:p="http://schemas.microsoft.com/office/2006/metadata/properties" xmlns:ns2="90e799b2-c584-48b5-bdc0-867f8885436c" xmlns:ns3="824c91ea-b5b5-46e5-86ed-a1278afbd193" targetNamespace="http://schemas.microsoft.com/office/2006/metadata/properties" ma:root="true" ma:fieldsID="85665c05e9afa7c552539e5c2722f9e6" ns2:_="" ns3:_="">
    <xsd:import namespace="90e799b2-c584-48b5-bdc0-867f8885436c"/>
    <xsd:import namespace="824c91ea-b5b5-46e5-86ed-a1278afbd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799b2-c584-48b5-bdc0-867f88854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c91ea-b5b5-46e5-86ed-a1278afbd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80B21-9072-453A-98BB-F886B8B8CB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24c91ea-b5b5-46e5-86ed-a1278afbd19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e799b2-c584-48b5-bdc0-867f888543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E882AC-AABE-42C4-A8A6-417ED7FB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CCD9C-C060-4411-A972-D7BAB8F1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799b2-c584-48b5-bdc0-867f8885436c"/>
    <ds:schemaRef ds:uri="824c91ea-b5b5-46e5-86ed-a1278afbd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Andrade</dc:creator>
  <cp:keywords/>
  <dc:description/>
  <cp:lastModifiedBy>Alyssa Andrade</cp:lastModifiedBy>
  <cp:revision>2</cp:revision>
  <dcterms:created xsi:type="dcterms:W3CDTF">2020-08-19T16:28:00Z</dcterms:created>
  <dcterms:modified xsi:type="dcterms:W3CDTF">2020-08-19T16:28:00Z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0x01010029474C7B85F8454EAD8A7F44A40BD3BF</vt:lpwstr>
  </property>
</Properties>
</file>